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7337A">
      <w:pPr>
        <w:spacing w:line="600" w:lineRule="exact"/>
        <w:jc w:val="center"/>
        <w:rPr>
          <w:rFonts w:ascii="黑体" w:hAnsi="黑体" w:eastAsia="黑体" w:cs="黑体"/>
          <w:b/>
          <w:sz w:val="32"/>
          <w:szCs w:val="36"/>
        </w:rPr>
      </w:pPr>
      <w:bookmarkStart w:id="0" w:name="_GoBack"/>
      <w:r>
        <w:rPr>
          <w:rFonts w:hint="eastAsia" w:ascii="黑体" w:hAnsi="黑体" w:eastAsia="黑体" w:cs="黑体"/>
          <w:b/>
          <w:sz w:val="32"/>
          <w:szCs w:val="36"/>
        </w:rPr>
        <w:t>浙江万里学院XX学术学位硕士研究生培养方案（20XX级）</w:t>
      </w:r>
    </w:p>
    <w:bookmarkEnd w:id="0"/>
    <w:p w14:paraId="36D50E6C">
      <w:pPr>
        <w:spacing w:line="600" w:lineRule="exact"/>
        <w:jc w:val="center"/>
        <w:rPr>
          <w:rFonts w:ascii="黑体" w:hAnsi="黑体" w:eastAsia="黑体" w:cs="黑体"/>
          <w:b/>
          <w:sz w:val="24"/>
          <w:szCs w:val="22"/>
        </w:rPr>
      </w:pPr>
      <w:r>
        <w:rPr>
          <w:rFonts w:hint="eastAsia" w:ascii="黑体" w:hAnsi="黑体" w:eastAsia="黑体" w:cs="黑体"/>
          <w:b/>
          <w:sz w:val="24"/>
          <w:szCs w:val="28"/>
        </w:rPr>
        <w:t>（学位授权点代码：</w:t>
      </w:r>
      <w:r>
        <w:rPr>
          <w:rFonts w:hint="eastAsia" w:ascii="黑体" w:hAnsi="黑体" w:eastAsia="黑体" w:cs="黑体"/>
          <w:b/>
          <w:sz w:val="24"/>
          <w:szCs w:val="28"/>
          <w:u w:val="single"/>
        </w:rPr>
        <w:t xml:space="preserve">     </w:t>
      </w:r>
      <w:r>
        <w:rPr>
          <w:rFonts w:hint="eastAsia" w:ascii="黑体" w:hAnsi="黑体" w:eastAsia="黑体" w:cs="黑体"/>
          <w:b/>
          <w:sz w:val="24"/>
          <w:szCs w:val="28"/>
        </w:rPr>
        <w:t>）</w:t>
      </w:r>
    </w:p>
    <w:p w14:paraId="4F16214A">
      <w:pPr>
        <w:spacing w:line="400" w:lineRule="exact"/>
        <w:ind w:firstLine="448" w:firstLineChars="200"/>
        <w:rPr>
          <w:rFonts w:ascii="黑体" w:hAnsi="黑体" w:eastAsia="黑体" w:cs="黑体"/>
          <w:b/>
          <w:sz w:val="24"/>
          <w:szCs w:val="22"/>
        </w:rPr>
      </w:pPr>
      <w:r>
        <w:rPr>
          <w:rFonts w:hint="eastAsia" w:ascii="黑体" w:hAnsi="黑体" w:eastAsia="黑体" w:cs="黑体"/>
          <w:b/>
          <w:sz w:val="24"/>
          <w:szCs w:val="22"/>
        </w:rPr>
        <w:t>一、培养目标与基本要求</w:t>
      </w:r>
    </w:p>
    <w:p w14:paraId="0BFB6CA4">
      <w:pPr>
        <w:spacing w:line="400" w:lineRule="exact"/>
        <w:ind w:firstLine="448" w:firstLineChars="200"/>
        <w:rPr>
          <w:rFonts w:ascii="宋体" w:hAnsi="宋体" w:cs="宋体"/>
          <w:b/>
          <w:sz w:val="24"/>
          <w:szCs w:val="22"/>
        </w:rPr>
      </w:pPr>
      <w:r>
        <w:rPr>
          <w:rFonts w:hint="eastAsia" w:ascii="宋体" w:hAnsi="宋体" w:cs="宋体"/>
          <w:sz w:val="24"/>
          <w:szCs w:val="22"/>
        </w:rPr>
        <w:t>宋体，小四，行距20磅</w:t>
      </w:r>
    </w:p>
    <w:p w14:paraId="336B6156">
      <w:pPr>
        <w:spacing w:line="400" w:lineRule="exact"/>
        <w:ind w:firstLine="448" w:firstLineChars="200"/>
        <w:rPr>
          <w:rFonts w:ascii="黑体" w:hAnsi="黑体" w:eastAsia="黑体" w:cs="黑体"/>
          <w:b/>
          <w:sz w:val="24"/>
          <w:szCs w:val="22"/>
        </w:rPr>
      </w:pPr>
      <w:r>
        <w:rPr>
          <w:rFonts w:hint="eastAsia" w:ascii="黑体" w:hAnsi="黑体" w:eastAsia="黑体" w:cs="黑体"/>
          <w:b/>
          <w:sz w:val="24"/>
          <w:szCs w:val="22"/>
        </w:rPr>
        <w:t>二、学科简介与研究方向</w:t>
      </w:r>
    </w:p>
    <w:p w14:paraId="0415839D">
      <w:pPr>
        <w:spacing w:line="400" w:lineRule="exact"/>
        <w:ind w:firstLine="448" w:firstLineChars="200"/>
        <w:rPr>
          <w:rFonts w:ascii="宋体" w:hAnsi="宋体" w:cs="宋体"/>
          <w:sz w:val="24"/>
          <w:szCs w:val="22"/>
        </w:rPr>
      </w:pPr>
      <w:r>
        <w:rPr>
          <w:rFonts w:hint="eastAsia" w:ascii="宋体" w:hAnsi="宋体" w:cs="宋体"/>
          <w:sz w:val="24"/>
          <w:szCs w:val="22"/>
        </w:rPr>
        <w:t>宋体，小四，行距20磅</w:t>
      </w:r>
    </w:p>
    <w:p w14:paraId="7C49D05D">
      <w:pPr>
        <w:spacing w:line="400" w:lineRule="exact"/>
        <w:ind w:firstLine="448" w:firstLineChars="200"/>
        <w:rPr>
          <w:rFonts w:ascii="黑体" w:hAnsi="黑体" w:eastAsia="黑体" w:cs="黑体"/>
          <w:b/>
          <w:sz w:val="24"/>
          <w:szCs w:val="22"/>
        </w:rPr>
      </w:pPr>
      <w:r>
        <w:rPr>
          <w:rFonts w:hint="eastAsia" w:ascii="黑体" w:hAnsi="黑体" w:eastAsia="黑体" w:cs="黑体"/>
          <w:b/>
          <w:sz w:val="24"/>
          <w:szCs w:val="22"/>
        </w:rPr>
        <w:t>三、学制与最长学习年限</w:t>
      </w:r>
    </w:p>
    <w:p w14:paraId="01078600">
      <w:pPr>
        <w:spacing w:line="400" w:lineRule="exact"/>
        <w:ind w:firstLine="448" w:firstLineChars="200"/>
        <w:rPr>
          <w:rFonts w:ascii="宋体" w:hAnsi="宋体" w:cs="宋体"/>
          <w:sz w:val="24"/>
          <w:szCs w:val="22"/>
        </w:rPr>
      </w:pPr>
      <w:r>
        <w:rPr>
          <w:rFonts w:hint="eastAsia" w:ascii="宋体" w:hAnsi="宋体" w:cs="宋体"/>
          <w:sz w:val="24"/>
          <w:szCs w:val="22"/>
        </w:rPr>
        <w:t>宋体，小四，行距20磅</w:t>
      </w:r>
    </w:p>
    <w:p w14:paraId="20E43A3A">
      <w:pPr>
        <w:spacing w:line="400" w:lineRule="exact"/>
        <w:ind w:firstLine="448" w:firstLineChars="200"/>
        <w:rPr>
          <w:rFonts w:ascii="黑体" w:hAnsi="黑体" w:eastAsia="黑体" w:cs="黑体"/>
          <w:b/>
          <w:sz w:val="24"/>
          <w:szCs w:val="22"/>
        </w:rPr>
      </w:pPr>
      <w:r>
        <w:rPr>
          <w:rFonts w:hint="eastAsia" w:ascii="黑体" w:hAnsi="黑体" w:eastAsia="黑体" w:cs="黑体"/>
          <w:b/>
          <w:sz w:val="24"/>
          <w:szCs w:val="22"/>
        </w:rPr>
        <w:t>四、培养方式</w:t>
      </w:r>
    </w:p>
    <w:p w14:paraId="7E78C706">
      <w:pPr>
        <w:spacing w:line="400" w:lineRule="exact"/>
        <w:ind w:firstLine="448" w:firstLineChars="200"/>
        <w:rPr>
          <w:rFonts w:ascii="宋体" w:hAnsi="宋体" w:cs="宋体"/>
          <w:sz w:val="24"/>
          <w:szCs w:val="22"/>
        </w:rPr>
      </w:pPr>
      <w:r>
        <w:rPr>
          <w:rFonts w:hint="eastAsia" w:ascii="宋体" w:hAnsi="宋体" w:cs="宋体"/>
          <w:sz w:val="24"/>
          <w:szCs w:val="22"/>
        </w:rPr>
        <w:t>宋体，小四，行距20磅</w:t>
      </w:r>
    </w:p>
    <w:p w14:paraId="567939B2">
      <w:pPr>
        <w:spacing w:line="400" w:lineRule="exact"/>
        <w:ind w:firstLine="448" w:firstLineChars="200"/>
        <w:rPr>
          <w:rFonts w:ascii="黑体" w:hAnsi="黑体" w:eastAsia="黑体" w:cs="黑体"/>
          <w:b/>
          <w:sz w:val="24"/>
          <w:szCs w:val="22"/>
        </w:rPr>
      </w:pPr>
      <w:r>
        <w:rPr>
          <w:rFonts w:hint="eastAsia" w:ascii="黑体" w:hAnsi="黑体" w:eastAsia="黑体" w:cs="黑体"/>
          <w:b/>
          <w:sz w:val="24"/>
          <w:szCs w:val="22"/>
        </w:rPr>
        <w:t>五、课程体系与必修环节</w:t>
      </w:r>
    </w:p>
    <w:p w14:paraId="53BFC3DD">
      <w:pPr>
        <w:spacing w:line="400" w:lineRule="exact"/>
        <w:ind w:firstLine="448" w:firstLineChars="200"/>
        <w:rPr>
          <w:rFonts w:ascii="宋体" w:hAnsi="宋体" w:cs="宋体"/>
          <w:sz w:val="24"/>
          <w:szCs w:val="22"/>
        </w:rPr>
      </w:pPr>
      <w:r>
        <w:rPr>
          <w:rFonts w:hint="eastAsia" w:ascii="宋体" w:hAnsi="宋体" w:cs="宋体"/>
          <w:sz w:val="24"/>
          <w:szCs w:val="22"/>
        </w:rPr>
        <w:t>本学术学位硕士研究生需修满的总学分不低于</w:t>
      </w:r>
      <w:r>
        <w:rPr>
          <w:rFonts w:hint="eastAsia" w:ascii="宋体" w:hAnsi="宋体" w:cs="宋体"/>
          <w:sz w:val="24"/>
          <w:szCs w:val="22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2"/>
        </w:rPr>
        <w:t>学分，具体构成如下：公共必修课≥</w:t>
      </w:r>
      <w:r>
        <w:rPr>
          <w:rFonts w:hint="eastAsia" w:ascii="宋体" w:hAnsi="宋体" w:cs="宋体"/>
          <w:sz w:val="24"/>
          <w:szCs w:val="22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2"/>
        </w:rPr>
        <w:t>学分，专业必修课≥</w:t>
      </w:r>
      <w:r>
        <w:rPr>
          <w:rFonts w:hint="eastAsia" w:ascii="宋体" w:hAnsi="宋体" w:cs="宋体"/>
          <w:sz w:val="24"/>
          <w:szCs w:val="22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2"/>
        </w:rPr>
        <w:t>学分，专业选修课≥</w:t>
      </w:r>
      <w:r>
        <w:rPr>
          <w:rFonts w:hint="eastAsia" w:ascii="宋体" w:hAnsi="宋体" w:cs="宋体"/>
          <w:sz w:val="24"/>
          <w:szCs w:val="22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2"/>
        </w:rPr>
        <w:t>学分，另包含必修环节</w:t>
      </w:r>
      <w:r>
        <w:rPr>
          <w:rFonts w:hint="eastAsia" w:ascii="宋体" w:hAnsi="宋体" w:cs="宋体"/>
          <w:sz w:val="24"/>
          <w:szCs w:val="22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2"/>
        </w:rPr>
        <w:t>学分。课程与必修环节设置及学分要求详见附表1，必修环节基本要求及考核办法详见附表2。</w:t>
      </w:r>
    </w:p>
    <w:p w14:paraId="29C3FBBC">
      <w:pPr>
        <w:spacing w:line="400" w:lineRule="exact"/>
        <w:ind w:firstLine="448" w:firstLineChars="200"/>
        <w:rPr>
          <w:rFonts w:ascii="黑体" w:hAnsi="黑体" w:eastAsia="黑体" w:cs="黑体"/>
          <w:b/>
          <w:sz w:val="24"/>
          <w:szCs w:val="22"/>
        </w:rPr>
      </w:pPr>
      <w:r>
        <w:rPr>
          <w:rFonts w:hint="eastAsia" w:ascii="黑体" w:hAnsi="黑体" w:eastAsia="黑体" w:cs="黑体"/>
          <w:b/>
          <w:sz w:val="24"/>
          <w:szCs w:val="22"/>
        </w:rPr>
        <w:t>六、学位论文</w:t>
      </w:r>
    </w:p>
    <w:p w14:paraId="7D721B0B">
      <w:pPr>
        <w:spacing w:line="400" w:lineRule="exact"/>
        <w:ind w:firstLine="448" w:firstLineChars="200"/>
        <w:rPr>
          <w:rFonts w:ascii="宋体" w:hAnsi="宋体" w:cs="宋体"/>
          <w:sz w:val="24"/>
          <w:szCs w:val="22"/>
        </w:rPr>
      </w:pPr>
      <w:r>
        <w:rPr>
          <w:rFonts w:hint="eastAsia" w:ascii="宋体" w:hAnsi="宋体" w:cs="宋体"/>
          <w:sz w:val="24"/>
          <w:szCs w:val="22"/>
        </w:rPr>
        <w:t>学位论文工作过程及要求详见附表3。</w:t>
      </w:r>
    </w:p>
    <w:p w14:paraId="5C09300C">
      <w:pPr>
        <w:spacing w:line="400" w:lineRule="exact"/>
        <w:ind w:firstLine="448" w:firstLineChars="200"/>
        <w:rPr>
          <w:rFonts w:ascii="黑体" w:hAnsi="黑体" w:eastAsia="黑体" w:cs="黑体"/>
          <w:b/>
          <w:sz w:val="24"/>
          <w:szCs w:val="22"/>
        </w:rPr>
      </w:pPr>
      <w:r>
        <w:rPr>
          <w:rFonts w:hint="eastAsia" w:ascii="黑体" w:hAnsi="黑体" w:eastAsia="黑体" w:cs="黑体"/>
          <w:b/>
          <w:sz w:val="24"/>
          <w:szCs w:val="22"/>
        </w:rPr>
        <w:t>七、毕业与学位授予</w:t>
      </w:r>
    </w:p>
    <w:p w14:paraId="62D84CEA">
      <w:pPr>
        <w:spacing w:line="400" w:lineRule="exact"/>
        <w:ind w:firstLine="448" w:firstLineChars="200"/>
        <w:rPr>
          <w:rFonts w:ascii="宋体" w:hAnsi="宋体" w:cs="宋体"/>
          <w:sz w:val="24"/>
          <w:szCs w:val="22"/>
        </w:rPr>
      </w:pPr>
      <w:r>
        <w:rPr>
          <w:rFonts w:hint="eastAsia" w:ascii="宋体" w:hAnsi="宋体" w:cs="宋体"/>
          <w:sz w:val="24"/>
          <w:szCs w:val="22"/>
        </w:rPr>
        <w:t>研究生在规定学习年限内，完成培养方案规定的全部培养环节，考核通过，学位论文答辩通过的，准予毕业，由学校颁发毕业证书。</w:t>
      </w:r>
    </w:p>
    <w:p w14:paraId="41B4F131">
      <w:pPr>
        <w:spacing w:line="400" w:lineRule="exact"/>
        <w:ind w:firstLine="448" w:firstLineChars="200"/>
        <w:rPr>
          <w:rFonts w:hint="eastAsia" w:ascii="宋体" w:hAnsi="宋体" w:eastAsia="宋体" w:cs="宋体"/>
          <w:sz w:val="24"/>
          <w:szCs w:val="22"/>
        </w:rPr>
      </w:pPr>
      <w:r>
        <w:rPr>
          <w:rFonts w:hint="eastAsia" w:ascii="宋体" w:hAnsi="宋体" w:eastAsia="宋体" w:cs="宋体"/>
          <w:sz w:val="24"/>
          <w:szCs w:val="22"/>
        </w:rPr>
        <w:t>XX学术学位研究生申请硕士学位的成果要求为：1. …；2. …；3. …。所有成果以浙江万里学院为第一单位。达到学位授予条件的，经校研究生学位评定委员会审议通过后，由学校颁发学位证书。</w:t>
      </w:r>
    </w:p>
    <w:p w14:paraId="0A350BBA">
      <w:pPr>
        <w:rPr>
          <w:rFonts w:hint="eastAsia" w:ascii="宋体" w:hAnsi="宋体" w:cs="宋体"/>
          <w:sz w:val="24"/>
          <w:szCs w:val="22"/>
        </w:rPr>
      </w:pPr>
    </w:p>
    <w:p w14:paraId="559D7F74">
      <w:pPr>
        <w:rPr>
          <w:rFonts w:hint="eastAsia" w:ascii="宋体" w:hAnsi="宋体" w:cs="宋体"/>
          <w:sz w:val="24"/>
          <w:szCs w:val="22"/>
        </w:rPr>
      </w:pPr>
    </w:p>
    <w:p w14:paraId="5145D408">
      <w:pPr>
        <w:rPr>
          <w:rFonts w:hint="eastAsia" w:ascii="宋体" w:hAnsi="宋体" w:cs="宋体"/>
          <w:sz w:val="24"/>
          <w:szCs w:val="22"/>
        </w:rPr>
      </w:pPr>
    </w:p>
    <w:p w14:paraId="6A762384">
      <w:pPr>
        <w:rPr>
          <w:rFonts w:hint="eastAsia" w:ascii="宋体" w:hAnsi="宋体" w:cs="宋体"/>
          <w:sz w:val="24"/>
          <w:szCs w:val="22"/>
        </w:rPr>
      </w:pPr>
    </w:p>
    <w:p w14:paraId="13CA4644">
      <w:pPr>
        <w:rPr>
          <w:rFonts w:hint="eastAsia" w:ascii="宋体" w:hAnsi="宋体" w:cs="宋体"/>
          <w:sz w:val="24"/>
          <w:szCs w:val="22"/>
        </w:rPr>
      </w:pPr>
      <w:r>
        <w:rPr>
          <w:rFonts w:hint="eastAsia" w:ascii="宋体" w:hAnsi="宋体" w:cs="宋体"/>
          <w:sz w:val="24"/>
          <w:szCs w:val="22"/>
        </w:rPr>
        <w:br w:type="page"/>
      </w:r>
    </w:p>
    <w:p w14:paraId="407BEB78">
      <w:pPr>
        <w:spacing w:after="317" w:afterLines="50" w:line="400" w:lineRule="exact"/>
        <w:jc w:val="left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附表1</w:t>
      </w:r>
    </w:p>
    <w:p w14:paraId="081F622D">
      <w:pPr>
        <w:spacing w:after="317" w:afterLines="50" w:line="400" w:lineRule="exact"/>
        <w:ind w:firstLine="448" w:firstLineChars="200"/>
        <w:jc w:val="center"/>
        <w:rPr>
          <w:rFonts w:ascii="黑体" w:hAnsi="黑体" w:eastAsia="黑体" w:cs="黑体"/>
          <w:b/>
          <w:sz w:val="24"/>
          <w:szCs w:val="22"/>
        </w:rPr>
      </w:pPr>
      <w:r>
        <w:rPr>
          <w:rFonts w:hint="eastAsia" w:ascii="黑体" w:hAnsi="黑体" w:eastAsia="黑体" w:cs="黑体"/>
          <w:sz w:val="24"/>
          <w:szCs w:val="22"/>
          <w:u w:val="single"/>
        </w:rPr>
        <w:t xml:space="preserve">             </w:t>
      </w:r>
      <w:r>
        <w:rPr>
          <w:rFonts w:hint="eastAsia" w:ascii="黑体" w:hAnsi="黑体" w:eastAsia="黑体" w:cs="黑体"/>
          <w:b/>
          <w:sz w:val="24"/>
          <w:szCs w:val="22"/>
        </w:rPr>
        <w:t>专业课程与必修环节设置及学分要求</w:t>
      </w:r>
    </w:p>
    <w:tbl>
      <w:tblPr>
        <w:tblStyle w:val="3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797"/>
        <w:gridCol w:w="2667"/>
        <w:gridCol w:w="609"/>
        <w:gridCol w:w="414"/>
        <w:gridCol w:w="755"/>
        <w:gridCol w:w="750"/>
        <w:gridCol w:w="1821"/>
        <w:gridCol w:w="694"/>
      </w:tblGrid>
      <w:tr w14:paraId="101A5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ECBB5">
            <w:pPr>
              <w:spacing w:line="340" w:lineRule="exact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课程类别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09983">
            <w:pPr>
              <w:spacing w:line="340" w:lineRule="exact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课程</w:t>
            </w:r>
          </w:p>
          <w:p w14:paraId="30CF8140">
            <w:pPr>
              <w:spacing w:line="340" w:lineRule="exact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编号</w:t>
            </w: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34748">
            <w:pPr>
              <w:spacing w:line="340" w:lineRule="exact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课程名称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22EF3">
            <w:pPr>
              <w:spacing w:line="340" w:lineRule="exact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学时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E9E2F">
            <w:pPr>
              <w:spacing w:line="340" w:lineRule="exact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学分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63D3A">
            <w:pPr>
              <w:spacing w:line="340" w:lineRule="exact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考核</w:t>
            </w:r>
          </w:p>
          <w:p w14:paraId="23637F62">
            <w:pPr>
              <w:spacing w:line="340" w:lineRule="exact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方式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A178D">
            <w:pPr>
              <w:spacing w:line="340" w:lineRule="exact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开课</w:t>
            </w:r>
          </w:p>
          <w:p w14:paraId="01ADD26E">
            <w:pPr>
              <w:spacing w:line="340" w:lineRule="exact"/>
              <w:jc w:val="center"/>
              <w:rPr>
                <w:rFonts w:ascii="黑体" w:hAnsi="黑体" w:eastAsia="黑体" w:cs="黑体"/>
                <w:b/>
                <w:bCs/>
                <w:szCs w:val="21"/>
                <w:vertAlign w:val="superscript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学期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3B602">
            <w:pPr>
              <w:spacing w:line="340" w:lineRule="exact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开课单位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8F14B">
            <w:pPr>
              <w:spacing w:line="340" w:lineRule="exact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学分要求</w:t>
            </w:r>
          </w:p>
        </w:tc>
      </w:tr>
      <w:tr w14:paraId="1C044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459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公</w:t>
            </w:r>
          </w:p>
          <w:p w14:paraId="4D6B7B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共</w:t>
            </w:r>
          </w:p>
          <w:p w14:paraId="15BC4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必</w:t>
            </w:r>
          </w:p>
          <w:p w14:paraId="1BCDAF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修</w:t>
            </w:r>
          </w:p>
          <w:p w14:paraId="61BD4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课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24BCF">
            <w:pPr>
              <w:spacing w:line="300" w:lineRule="exact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G1001</w:t>
            </w: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70C63">
            <w:pPr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自然辩证法概论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D45FC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07A42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B3BE9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考试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3531C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93529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马克思主义学院</w:t>
            </w:r>
          </w:p>
        </w:tc>
        <w:tc>
          <w:tcPr>
            <w:tcW w:w="69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9A2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</w:t>
            </w:r>
          </w:p>
          <w:p w14:paraId="41CA93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少</w:t>
            </w:r>
          </w:p>
          <w:p w14:paraId="5C6176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于</w:t>
            </w:r>
          </w:p>
          <w:p w14:paraId="5A60B2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X</w:t>
            </w:r>
          </w:p>
          <w:p w14:paraId="14FAC3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</w:t>
            </w:r>
          </w:p>
          <w:p w14:paraId="6AFB3A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分</w:t>
            </w:r>
          </w:p>
        </w:tc>
      </w:tr>
      <w:tr w14:paraId="5481A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FF02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BAE7F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G1002</w:t>
            </w: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C235A">
            <w:pPr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研究生英语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081A4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48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90AAB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066EE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考试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CFE3C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9F129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外语学院</w:t>
            </w: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C39D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5A449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73D7D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E503C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G1004</w:t>
            </w: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2E3C8">
            <w:pPr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新时代中国特色社会主义理论与实践研究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8522A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32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8ABB9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11FD7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考试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B9BE3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31CED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马克思主义学院</w:t>
            </w: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B59EC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1951B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EB065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02400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G1014</w:t>
            </w: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9743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综合素养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34CCB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6F659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03498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考查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457D9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78305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研究生院</w:t>
            </w: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11174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04F10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DD05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795FD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G1015</w:t>
            </w: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0C4B4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学术规范与论文写作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A869C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C0ED9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B559E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考查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75079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考查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FC478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XX学院</w:t>
            </w: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C1740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3D826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3526A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2C450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CDB4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人工智能课程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B72CD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632CE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3889C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考查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08BA5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考查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9DF5B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XX学院</w:t>
            </w: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A5A0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560B1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C8D7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A7748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2A472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7395A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800A9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0D2F9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3C4F9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0FC9D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535C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4E61A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835DD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专</w:t>
            </w:r>
          </w:p>
          <w:p w14:paraId="00E9043D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业</w:t>
            </w:r>
          </w:p>
          <w:p w14:paraId="31EAA22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必</w:t>
            </w:r>
          </w:p>
          <w:p w14:paraId="61C168EF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修</w:t>
            </w:r>
          </w:p>
          <w:p w14:paraId="7EA4038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课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CFE9D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D7BDE">
            <w:pPr>
              <w:spacing w:line="30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380A3">
            <w:pPr>
              <w:spacing w:line="30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E2A12">
            <w:pPr>
              <w:spacing w:line="30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5D000">
            <w:pPr>
              <w:spacing w:line="30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D901E">
            <w:pPr>
              <w:spacing w:line="300" w:lineRule="exac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8F87E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9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712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</w:t>
            </w:r>
          </w:p>
          <w:p w14:paraId="211090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少</w:t>
            </w:r>
          </w:p>
          <w:p w14:paraId="553BAA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于</w:t>
            </w:r>
          </w:p>
          <w:p w14:paraId="537613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X</w:t>
            </w:r>
          </w:p>
          <w:p w14:paraId="2F7C7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</w:t>
            </w:r>
          </w:p>
          <w:p w14:paraId="64612B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分</w:t>
            </w:r>
          </w:p>
        </w:tc>
      </w:tr>
      <w:tr w14:paraId="000F6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2FC6F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817C3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7597E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1F6D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DC72B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6404F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B6BD5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B4EEC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E1660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12E30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F083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B0440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6FCFF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A542D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86DE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264A2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FBA65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ADA33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E44CC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9C85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8068B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1B9B8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4CC19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6800F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A8252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39188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96324D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571DB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0A06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20283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9A849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84047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ADC98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AA3BF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93C79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53E18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68490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49A4B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0C3B4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78AAF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92689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90F3A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FEBB4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0F3BF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363C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E6EAD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315EB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A6C4C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6985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54271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8BCA5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C05F5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9C008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62C77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017F3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698391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E7154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CD496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970C6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569FD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7874C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专</w:t>
            </w:r>
          </w:p>
          <w:p w14:paraId="1C5FCFDD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业</w:t>
            </w:r>
          </w:p>
          <w:p w14:paraId="410B4CA0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选</w:t>
            </w:r>
          </w:p>
          <w:p w14:paraId="12D0966A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修</w:t>
            </w:r>
          </w:p>
          <w:p w14:paraId="28D775E9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课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DBD6B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81CF7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BF3B2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4B4AC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12957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D65B7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E85FE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BB7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</w:t>
            </w:r>
          </w:p>
          <w:p w14:paraId="1CF46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少</w:t>
            </w:r>
          </w:p>
          <w:p w14:paraId="502D84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于</w:t>
            </w:r>
          </w:p>
          <w:p w14:paraId="38EE3F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X</w:t>
            </w:r>
          </w:p>
          <w:p w14:paraId="071F32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</w:t>
            </w:r>
          </w:p>
          <w:p w14:paraId="6B9F7F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分</w:t>
            </w:r>
          </w:p>
        </w:tc>
      </w:tr>
      <w:tr w14:paraId="0F6C9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83D4C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F925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5D6B1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C4425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3BBBE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60820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40F1E7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82F72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3BF9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0474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765BB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42BD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614D8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40C04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8CDE8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78932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26EF0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EAF57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A68BC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F567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DA9AE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80572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72049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BBB05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69A2C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6C621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1C403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CDBEB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A44BE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98E0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D4C4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3284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CF036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2D03D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56FB1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2FCCB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9FC90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321B6">
            <w:pPr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1327B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3ECD1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03418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必</w:t>
            </w:r>
          </w:p>
          <w:p w14:paraId="5BA85803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修</w:t>
            </w:r>
          </w:p>
          <w:p w14:paraId="1D353998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环</w:t>
            </w:r>
          </w:p>
          <w:p w14:paraId="0BD0DC43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节</w:t>
            </w:r>
          </w:p>
        </w:tc>
        <w:tc>
          <w:tcPr>
            <w:tcW w:w="4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7CA9F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开题报告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5E46A"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X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46E17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考查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3BA18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1-6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E2C83"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XX</w:t>
            </w:r>
            <w:r>
              <w:rPr>
                <w:rFonts w:hint="eastAsia" w:ascii="宋体" w:hAnsi="宋体" w:cs="宋体"/>
                <w:bCs/>
                <w:szCs w:val="21"/>
              </w:rPr>
              <w:t>学院</w:t>
            </w:r>
          </w:p>
        </w:tc>
        <w:tc>
          <w:tcPr>
            <w:tcW w:w="6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71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X</w:t>
            </w:r>
          </w:p>
          <w:p w14:paraId="729FE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</w:t>
            </w:r>
          </w:p>
          <w:p w14:paraId="096209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分</w:t>
            </w:r>
          </w:p>
        </w:tc>
      </w:tr>
      <w:tr w14:paraId="4DFB7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B37DD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4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9F6FF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中期考核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E9363"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X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C89BD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考查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81FE0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1-6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F20EF"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XX</w:t>
            </w:r>
            <w:r>
              <w:rPr>
                <w:rFonts w:hint="eastAsia" w:ascii="宋体" w:hAnsi="宋体" w:cs="宋体"/>
                <w:bCs/>
                <w:szCs w:val="21"/>
              </w:rPr>
              <w:t>学院</w:t>
            </w: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75BE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03B9C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761AA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4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D0367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学术研讨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6E5DF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F15D3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0CA3C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49F8B">
            <w:pPr>
              <w:widowControl/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3757F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3E4BE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D6DBC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4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91DE0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学术交流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1D93D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FF776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CE40D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96B59">
            <w:pPr>
              <w:widowControl/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CFC90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1484B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79C79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4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D9CEF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科研训练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D4FDF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50EC6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2F1E8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CF25D">
            <w:pPr>
              <w:widowControl/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CFFFD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2B7E4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B430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4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DEC1E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劳动实践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5DC9C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6E864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  <w:highlight w:val="yellow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E78E8">
            <w:pPr>
              <w:spacing w:line="300" w:lineRule="exact"/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49540">
            <w:pPr>
              <w:widowControl/>
              <w:spacing w:line="300" w:lineRule="exact"/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18C50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43B9B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425DC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4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EC44F">
            <w:pPr>
              <w:spacing w:line="300" w:lineRule="exact"/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szCs w:val="21"/>
              </w:rPr>
              <w:t>预答辩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EFC48"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X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B9B8B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  <w:highlight w:val="yellow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D194B">
            <w:pPr>
              <w:spacing w:line="300" w:lineRule="exact"/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DC6D3">
            <w:pPr>
              <w:widowControl/>
              <w:spacing w:line="300" w:lineRule="exact"/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AB0BE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5370A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C3B55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学分统计</w:t>
            </w:r>
          </w:p>
        </w:tc>
        <w:tc>
          <w:tcPr>
            <w:tcW w:w="850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D7A19">
            <w:pPr>
              <w:spacing w:line="300" w:lineRule="exact"/>
              <w:jc w:val="center"/>
              <w:rPr>
                <w:rFonts w:ascii="黑体" w:hAnsi="黑体" w:eastAsia="黑体" w:cs="黑体"/>
                <w:b/>
                <w:position w:val="1"/>
                <w:sz w:val="18"/>
                <w:szCs w:val="22"/>
              </w:rPr>
            </w:pPr>
            <w:r>
              <w:rPr>
                <w:rFonts w:hint="eastAsia" w:ascii="黑体" w:hAnsi="黑体" w:eastAsia="黑体" w:cs="黑体"/>
                <w:b/>
                <w:position w:val="1"/>
                <w:sz w:val="18"/>
                <w:szCs w:val="22"/>
              </w:rPr>
              <w:t>总学分：</w:t>
            </w:r>
            <w:r>
              <w:rPr>
                <w:rFonts w:hint="eastAsia" w:ascii="黑体" w:hAnsi="黑体" w:eastAsia="黑体" w:cs="黑体"/>
                <w:color w:val="000000"/>
                <w:sz w:val="20"/>
                <w:lang w:bidi="ar"/>
              </w:rPr>
              <w:t>xx</w:t>
            </w:r>
            <w:r>
              <w:rPr>
                <w:rFonts w:hint="eastAsia" w:ascii="黑体" w:hAnsi="黑体" w:eastAsia="黑体" w:cs="黑体"/>
                <w:b/>
                <w:position w:val="1"/>
                <w:sz w:val="18"/>
                <w:szCs w:val="22"/>
              </w:rPr>
              <w:t>学分，其中：公共课</w:t>
            </w:r>
            <w:r>
              <w:rPr>
                <w:rFonts w:hint="eastAsia" w:ascii="黑体" w:hAnsi="黑体" w:eastAsia="黑体" w:cs="黑体"/>
                <w:color w:val="000000"/>
                <w:sz w:val="20"/>
                <w:lang w:bidi="ar"/>
              </w:rPr>
              <w:t>xx</w:t>
            </w:r>
            <w:r>
              <w:rPr>
                <w:rFonts w:hint="eastAsia" w:ascii="黑体" w:hAnsi="黑体" w:eastAsia="黑体" w:cs="黑体"/>
                <w:b/>
                <w:position w:val="1"/>
                <w:sz w:val="18"/>
                <w:szCs w:val="22"/>
              </w:rPr>
              <w:t>学分，专业课</w:t>
            </w:r>
            <w:r>
              <w:rPr>
                <w:rFonts w:hint="eastAsia" w:ascii="黑体" w:hAnsi="黑体" w:eastAsia="黑体" w:cs="黑体"/>
                <w:color w:val="000000"/>
                <w:sz w:val="20"/>
                <w:lang w:bidi="ar"/>
              </w:rPr>
              <w:t>xx</w:t>
            </w:r>
            <w:r>
              <w:rPr>
                <w:rFonts w:hint="eastAsia" w:ascii="黑体" w:hAnsi="黑体" w:eastAsia="黑体" w:cs="黑体"/>
                <w:b/>
                <w:position w:val="1"/>
                <w:sz w:val="18"/>
                <w:szCs w:val="22"/>
              </w:rPr>
              <w:t>学分，必修环节</w:t>
            </w:r>
            <w:r>
              <w:rPr>
                <w:rFonts w:hint="eastAsia" w:ascii="黑体" w:hAnsi="黑体" w:eastAsia="黑体" w:cs="黑体"/>
                <w:color w:val="000000"/>
                <w:sz w:val="20"/>
                <w:lang w:bidi="ar"/>
              </w:rPr>
              <w:t>xx</w:t>
            </w:r>
            <w:r>
              <w:rPr>
                <w:rFonts w:hint="eastAsia" w:ascii="黑体" w:hAnsi="黑体" w:eastAsia="黑体" w:cs="黑体"/>
                <w:b/>
                <w:position w:val="1"/>
                <w:sz w:val="18"/>
                <w:szCs w:val="22"/>
              </w:rPr>
              <w:t>学分。</w:t>
            </w:r>
          </w:p>
        </w:tc>
      </w:tr>
      <w:tr w14:paraId="44AB4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177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626CD7F4">
            <w:pPr>
              <w:spacing w:after="317" w:afterLines="50" w:line="400" w:lineRule="exact"/>
              <w:jc w:val="left"/>
              <w:rPr>
                <w:rFonts w:ascii="黑体" w:hAnsi="黑体" w:eastAsia="黑体" w:cs="黑体"/>
                <w:b/>
                <w:position w:val="1"/>
                <w:sz w:val="18"/>
                <w:szCs w:val="22"/>
              </w:rPr>
            </w:pPr>
            <w:r>
              <w:rPr>
                <w:rFonts w:hint="eastAsia" w:ascii="宋体" w:hAnsi="宋体" w:cs="宋体"/>
                <w:szCs w:val="21"/>
              </w:rPr>
              <w:t>注：请根据需要增减行。原有课程请填上课程编号，新开课程或更改名称课程编号由研究生院编写。</w:t>
            </w:r>
          </w:p>
        </w:tc>
      </w:tr>
    </w:tbl>
    <w:p w14:paraId="7081FFC4">
      <w:pPr>
        <w:spacing w:after="317" w:afterLines="50" w:line="400" w:lineRule="exact"/>
        <w:jc w:val="left"/>
        <w:rPr>
          <w:rFonts w:ascii="仿宋_GB2312" w:hAnsi="黑体" w:eastAsia="仿宋_GB2312" w:cs="黑体"/>
          <w:sz w:val="32"/>
          <w:szCs w:val="32"/>
        </w:rPr>
      </w:pPr>
      <w:r>
        <w:rPr>
          <w:b/>
          <w:sz w:val="24"/>
          <w:szCs w:val="22"/>
        </w:rPr>
        <w:br w:type="page"/>
      </w:r>
      <w:r>
        <w:rPr>
          <w:rFonts w:hint="eastAsia" w:ascii="仿宋_GB2312" w:hAnsi="黑体" w:eastAsia="仿宋_GB2312" w:cs="黑体"/>
          <w:sz w:val="32"/>
          <w:szCs w:val="32"/>
        </w:rPr>
        <w:t>附表2</w:t>
      </w:r>
    </w:p>
    <w:p w14:paraId="44ED9FB8">
      <w:pPr>
        <w:spacing w:after="317" w:afterLines="50" w:line="400" w:lineRule="exact"/>
        <w:ind w:firstLine="448" w:firstLineChars="200"/>
        <w:jc w:val="center"/>
        <w:rPr>
          <w:rFonts w:ascii="黑体" w:hAnsi="黑体" w:eastAsia="黑体" w:cs="黑体"/>
          <w:b/>
          <w:szCs w:val="22"/>
        </w:rPr>
      </w:pPr>
      <w:r>
        <w:rPr>
          <w:rFonts w:hint="eastAsia" w:ascii="黑体" w:hAnsi="黑体" w:eastAsia="黑体" w:cs="黑体"/>
          <w:sz w:val="24"/>
          <w:szCs w:val="22"/>
          <w:u w:val="single"/>
        </w:rPr>
        <w:t xml:space="preserve">             </w:t>
      </w:r>
      <w:r>
        <w:rPr>
          <w:rFonts w:hint="eastAsia" w:ascii="黑体" w:hAnsi="黑体" w:eastAsia="黑体" w:cs="黑体"/>
          <w:b/>
          <w:sz w:val="24"/>
          <w:szCs w:val="22"/>
        </w:rPr>
        <w:t>必修环节基本要求及考核办法</w:t>
      </w:r>
    </w:p>
    <w:tbl>
      <w:tblPr>
        <w:tblStyle w:val="3"/>
        <w:tblW w:w="858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4528"/>
        <w:gridCol w:w="2680"/>
      </w:tblGrid>
      <w:tr w14:paraId="5CDA4F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372" w:type="dxa"/>
            <w:noWrap w:val="0"/>
            <w:vAlign w:val="center"/>
          </w:tcPr>
          <w:p w14:paraId="579539AA">
            <w:pPr>
              <w:spacing w:line="360" w:lineRule="exact"/>
              <w:jc w:val="center"/>
              <w:rPr>
                <w:rFonts w:ascii="黑体" w:hAnsi="黑体" w:eastAsia="黑体" w:cs="黑体"/>
                <w:b/>
                <w:szCs w:val="22"/>
              </w:rPr>
            </w:pPr>
            <w:r>
              <w:rPr>
                <w:rFonts w:hint="eastAsia" w:ascii="黑体" w:hAnsi="黑体" w:eastAsia="黑体" w:cs="黑体"/>
                <w:b/>
                <w:szCs w:val="22"/>
              </w:rPr>
              <w:t>必修环节</w:t>
            </w:r>
          </w:p>
        </w:tc>
        <w:tc>
          <w:tcPr>
            <w:tcW w:w="4528" w:type="dxa"/>
            <w:noWrap w:val="0"/>
            <w:vAlign w:val="center"/>
          </w:tcPr>
          <w:p w14:paraId="1D3DBD4B">
            <w:pPr>
              <w:spacing w:line="360" w:lineRule="exact"/>
              <w:ind w:firstLine="388" w:firstLineChars="200"/>
              <w:jc w:val="center"/>
              <w:rPr>
                <w:rFonts w:ascii="黑体" w:hAnsi="黑体" w:eastAsia="黑体" w:cs="黑体"/>
                <w:b/>
                <w:szCs w:val="22"/>
              </w:rPr>
            </w:pPr>
            <w:r>
              <w:rPr>
                <w:rFonts w:hint="eastAsia" w:ascii="黑体" w:hAnsi="黑体" w:eastAsia="黑体" w:cs="黑体"/>
                <w:b/>
                <w:szCs w:val="22"/>
              </w:rPr>
              <w:t>基本要求</w:t>
            </w:r>
          </w:p>
        </w:tc>
        <w:tc>
          <w:tcPr>
            <w:tcW w:w="2680" w:type="dxa"/>
            <w:noWrap w:val="0"/>
            <w:vAlign w:val="center"/>
          </w:tcPr>
          <w:p w14:paraId="0037A2FA">
            <w:pPr>
              <w:spacing w:line="360" w:lineRule="exact"/>
              <w:ind w:firstLine="388" w:firstLineChars="200"/>
              <w:jc w:val="center"/>
              <w:rPr>
                <w:rFonts w:ascii="黑体" w:hAnsi="黑体" w:eastAsia="黑体" w:cs="黑体"/>
                <w:b/>
                <w:szCs w:val="22"/>
              </w:rPr>
            </w:pPr>
            <w:r>
              <w:rPr>
                <w:rFonts w:hint="eastAsia" w:ascii="黑体" w:hAnsi="黑体" w:eastAsia="黑体" w:cs="黑体"/>
                <w:b/>
                <w:szCs w:val="22"/>
              </w:rPr>
              <w:t>考核办法</w:t>
            </w:r>
          </w:p>
        </w:tc>
      </w:tr>
      <w:tr w14:paraId="06CADD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  <w:jc w:val="center"/>
        </w:trPr>
        <w:tc>
          <w:tcPr>
            <w:tcW w:w="1372" w:type="dxa"/>
            <w:noWrap w:val="0"/>
            <w:vAlign w:val="center"/>
          </w:tcPr>
          <w:p w14:paraId="2AA8993D">
            <w:pPr>
              <w:spacing w:line="30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开题报告</w:t>
            </w:r>
          </w:p>
        </w:tc>
        <w:tc>
          <w:tcPr>
            <w:tcW w:w="4528" w:type="dxa"/>
            <w:noWrap w:val="0"/>
            <w:vAlign w:val="center"/>
          </w:tcPr>
          <w:p w14:paraId="49070247">
            <w:pPr>
              <w:widowControl/>
              <w:jc w:val="lef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2680" w:type="dxa"/>
            <w:noWrap w:val="0"/>
            <w:vAlign w:val="center"/>
          </w:tcPr>
          <w:p w14:paraId="0F111933">
            <w:pPr>
              <w:spacing w:line="360" w:lineRule="exact"/>
              <w:rPr>
                <w:bCs/>
                <w:color w:val="000000"/>
                <w:szCs w:val="21"/>
              </w:rPr>
            </w:pPr>
          </w:p>
        </w:tc>
      </w:tr>
      <w:tr w14:paraId="40BD87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  <w:jc w:val="center"/>
        </w:trPr>
        <w:tc>
          <w:tcPr>
            <w:tcW w:w="1372" w:type="dxa"/>
            <w:noWrap w:val="0"/>
            <w:vAlign w:val="center"/>
          </w:tcPr>
          <w:p w14:paraId="75CCC6BC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中期考核</w:t>
            </w:r>
          </w:p>
        </w:tc>
        <w:tc>
          <w:tcPr>
            <w:tcW w:w="4528" w:type="dxa"/>
            <w:noWrap w:val="0"/>
            <w:vAlign w:val="center"/>
          </w:tcPr>
          <w:p w14:paraId="465B2A43">
            <w:pPr>
              <w:widowControl/>
              <w:jc w:val="left"/>
              <w:rPr>
                <w:rFonts w:ascii="宋体" w:hAnsi="宋体" w:cs="宋体"/>
                <w:szCs w:val="22"/>
              </w:rPr>
            </w:pPr>
          </w:p>
        </w:tc>
        <w:tc>
          <w:tcPr>
            <w:tcW w:w="2680" w:type="dxa"/>
            <w:noWrap w:val="0"/>
            <w:vAlign w:val="center"/>
          </w:tcPr>
          <w:p w14:paraId="02891C05">
            <w:pPr>
              <w:widowControl/>
              <w:rPr>
                <w:rFonts w:ascii="宋体" w:hAnsi="宋体"/>
                <w:szCs w:val="22"/>
              </w:rPr>
            </w:pPr>
          </w:p>
        </w:tc>
      </w:tr>
      <w:tr w14:paraId="5ED10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  <w:jc w:val="center"/>
        </w:trPr>
        <w:tc>
          <w:tcPr>
            <w:tcW w:w="1372" w:type="dxa"/>
            <w:noWrap w:val="0"/>
            <w:vAlign w:val="center"/>
          </w:tcPr>
          <w:p w14:paraId="310651D5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学术研讨</w:t>
            </w:r>
          </w:p>
        </w:tc>
        <w:tc>
          <w:tcPr>
            <w:tcW w:w="4528" w:type="dxa"/>
            <w:noWrap w:val="0"/>
            <w:vAlign w:val="center"/>
          </w:tcPr>
          <w:p w14:paraId="12A6AECE">
            <w:pPr>
              <w:widowControl/>
              <w:jc w:val="left"/>
              <w:rPr>
                <w:rFonts w:ascii="宋体" w:hAnsi="宋体"/>
                <w:szCs w:val="22"/>
              </w:rPr>
            </w:pPr>
          </w:p>
        </w:tc>
        <w:tc>
          <w:tcPr>
            <w:tcW w:w="2680" w:type="dxa"/>
            <w:noWrap w:val="0"/>
            <w:vAlign w:val="center"/>
          </w:tcPr>
          <w:p w14:paraId="532E42C2">
            <w:pPr>
              <w:widowControl/>
              <w:jc w:val="left"/>
              <w:rPr>
                <w:bCs/>
                <w:color w:val="000000"/>
                <w:szCs w:val="21"/>
              </w:rPr>
            </w:pPr>
          </w:p>
        </w:tc>
      </w:tr>
      <w:tr w14:paraId="775AE7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  <w:jc w:val="center"/>
        </w:trPr>
        <w:tc>
          <w:tcPr>
            <w:tcW w:w="1372" w:type="dxa"/>
            <w:noWrap w:val="0"/>
            <w:vAlign w:val="center"/>
          </w:tcPr>
          <w:p w14:paraId="4F44DECB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学术交流</w:t>
            </w:r>
          </w:p>
        </w:tc>
        <w:tc>
          <w:tcPr>
            <w:tcW w:w="4528" w:type="dxa"/>
            <w:noWrap w:val="0"/>
            <w:vAlign w:val="center"/>
          </w:tcPr>
          <w:p w14:paraId="7F4C38A1">
            <w:pPr>
              <w:widowControl/>
              <w:jc w:val="left"/>
              <w:rPr>
                <w:rFonts w:ascii="宋体" w:hAnsi="宋体"/>
                <w:szCs w:val="22"/>
              </w:rPr>
            </w:pPr>
          </w:p>
        </w:tc>
        <w:tc>
          <w:tcPr>
            <w:tcW w:w="2680" w:type="dxa"/>
            <w:noWrap w:val="0"/>
            <w:vAlign w:val="center"/>
          </w:tcPr>
          <w:p w14:paraId="2DE73F75">
            <w:pPr>
              <w:widowControl/>
              <w:jc w:val="left"/>
              <w:rPr>
                <w:bCs/>
                <w:color w:val="000000"/>
                <w:szCs w:val="21"/>
              </w:rPr>
            </w:pPr>
          </w:p>
        </w:tc>
      </w:tr>
      <w:tr w14:paraId="61E40D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  <w:jc w:val="center"/>
        </w:trPr>
        <w:tc>
          <w:tcPr>
            <w:tcW w:w="1372" w:type="dxa"/>
            <w:noWrap w:val="0"/>
            <w:vAlign w:val="center"/>
          </w:tcPr>
          <w:p w14:paraId="62A34F67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科研训练</w:t>
            </w:r>
          </w:p>
        </w:tc>
        <w:tc>
          <w:tcPr>
            <w:tcW w:w="4528" w:type="dxa"/>
            <w:noWrap w:val="0"/>
            <w:vAlign w:val="center"/>
          </w:tcPr>
          <w:p w14:paraId="4D992FF3">
            <w:pPr>
              <w:widowControl/>
              <w:jc w:val="left"/>
              <w:rPr>
                <w:rFonts w:ascii="宋体" w:hAnsi="宋体"/>
                <w:szCs w:val="22"/>
              </w:rPr>
            </w:pPr>
          </w:p>
        </w:tc>
        <w:tc>
          <w:tcPr>
            <w:tcW w:w="2680" w:type="dxa"/>
            <w:noWrap w:val="0"/>
            <w:vAlign w:val="center"/>
          </w:tcPr>
          <w:p w14:paraId="16E7DF35">
            <w:pPr>
              <w:widowControl/>
              <w:jc w:val="left"/>
              <w:rPr>
                <w:bCs/>
                <w:color w:val="000000"/>
                <w:szCs w:val="21"/>
              </w:rPr>
            </w:pPr>
          </w:p>
        </w:tc>
      </w:tr>
      <w:tr w14:paraId="18A957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  <w:jc w:val="center"/>
        </w:trPr>
        <w:tc>
          <w:tcPr>
            <w:tcW w:w="1372" w:type="dxa"/>
            <w:noWrap w:val="0"/>
            <w:vAlign w:val="center"/>
          </w:tcPr>
          <w:p w14:paraId="4B518DFE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劳动实践</w:t>
            </w:r>
          </w:p>
        </w:tc>
        <w:tc>
          <w:tcPr>
            <w:tcW w:w="4528" w:type="dxa"/>
            <w:noWrap w:val="0"/>
            <w:vAlign w:val="center"/>
          </w:tcPr>
          <w:p w14:paraId="39D438AC">
            <w:pPr>
              <w:widowControl/>
              <w:jc w:val="left"/>
              <w:rPr>
                <w:rFonts w:ascii="宋体" w:hAnsi="宋体"/>
                <w:szCs w:val="22"/>
              </w:rPr>
            </w:pPr>
          </w:p>
        </w:tc>
        <w:tc>
          <w:tcPr>
            <w:tcW w:w="2680" w:type="dxa"/>
            <w:noWrap w:val="0"/>
            <w:vAlign w:val="center"/>
          </w:tcPr>
          <w:p w14:paraId="3121DFFA">
            <w:pPr>
              <w:widowControl/>
              <w:jc w:val="left"/>
              <w:rPr>
                <w:bCs/>
                <w:color w:val="000000"/>
                <w:szCs w:val="21"/>
              </w:rPr>
            </w:pPr>
          </w:p>
        </w:tc>
      </w:tr>
      <w:tr w14:paraId="2ED5B7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  <w:jc w:val="center"/>
        </w:trPr>
        <w:tc>
          <w:tcPr>
            <w:tcW w:w="1372" w:type="dxa"/>
            <w:noWrap w:val="0"/>
            <w:vAlign w:val="center"/>
          </w:tcPr>
          <w:p w14:paraId="4B88375E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预答辩</w:t>
            </w:r>
          </w:p>
        </w:tc>
        <w:tc>
          <w:tcPr>
            <w:tcW w:w="4528" w:type="dxa"/>
            <w:noWrap w:val="0"/>
            <w:vAlign w:val="center"/>
          </w:tcPr>
          <w:p w14:paraId="03667115">
            <w:pPr>
              <w:widowControl/>
              <w:jc w:val="left"/>
              <w:rPr>
                <w:rFonts w:ascii="宋体" w:hAnsi="宋体"/>
                <w:szCs w:val="22"/>
              </w:rPr>
            </w:pPr>
          </w:p>
        </w:tc>
        <w:tc>
          <w:tcPr>
            <w:tcW w:w="2680" w:type="dxa"/>
            <w:noWrap w:val="0"/>
            <w:vAlign w:val="center"/>
          </w:tcPr>
          <w:p w14:paraId="73105952">
            <w:pPr>
              <w:widowControl/>
              <w:jc w:val="left"/>
              <w:rPr>
                <w:bCs/>
                <w:color w:val="000000"/>
                <w:szCs w:val="21"/>
              </w:rPr>
            </w:pPr>
          </w:p>
        </w:tc>
      </w:tr>
    </w:tbl>
    <w:p w14:paraId="02618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 w:ascii="宋体" w:hAnsi="宋体" w:cs="宋体"/>
          <w:szCs w:val="21"/>
        </w:rPr>
        <w:sectPr>
          <w:footerReference r:id="rId3" w:type="default"/>
          <w:footerReference r:id="rId4" w:type="even"/>
          <w:pgSz w:w="11906" w:h="16838"/>
          <w:pgMar w:top="1440" w:right="1797" w:bottom="1440" w:left="1797" w:header="851" w:footer="992" w:gutter="0"/>
          <w:cols w:space="720" w:num="1"/>
          <w:docGrid w:type="linesAndChars" w:linePitch="634" w:charSpace="-3420"/>
        </w:sectPr>
      </w:pPr>
      <w:r>
        <w:rPr>
          <w:rFonts w:hint="eastAsia" w:ascii="宋体" w:hAnsi="宋体" w:cs="宋体"/>
          <w:szCs w:val="22"/>
        </w:rPr>
        <w:t>注：请参考中国学位与研究生教育学会《研究生教育学科专业简介及其学位基本要求》和各学科评议组发布的《学术学位研究生指导性培养方案》，根据我校该</w:t>
      </w:r>
      <w:r>
        <w:rPr>
          <w:rFonts w:hint="eastAsia" w:ascii="宋体" w:hAnsi="宋体" w:cs="宋体"/>
          <w:szCs w:val="21"/>
        </w:rPr>
        <w:t>学术学位</w:t>
      </w:r>
      <w:r>
        <w:rPr>
          <w:rFonts w:hint="eastAsia" w:ascii="宋体" w:hAnsi="宋体" w:cs="宋体"/>
          <w:szCs w:val="22"/>
        </w:rPr>
        <w:t>专业实际</w:t>
      </w:r>
      <w:r>
        <w:rPr>
          <w:rFonts w:hint="eastAsia" w:ascii="宋体" w:hAnsi="宋体" w:cs="宋体"/>
          <w:szCs w:val="21"/>
        </w:rPr>
        <w:t>情况制定，按实际需要增减行。</w:t>
      </w:r>
    </w:p>
    <w:p w14:paraId="49D13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ascii="黑体" w:hAnsi="黑体" w:eastAsia="黑体" w:cs="黑体"/>
          <w:b/>
          <w:sz w:val="24"/>
          <w:szCs w:val="22"/>
        </w:rPr>
      </w:pPr>
      <w:r>
        <w:rPr>
          <w:rFonts w:hint="eastAsia" w:ascii="仿宋_GB2312" w:hAnsi="黑体" w:eastAsia="仿宋_GB2312" w:cs="黑体"/>
          <w:sz w:val="32"/>
          <w:szCs w:val="32"/>
        </w:rPr>
        <w:t>附表3</w:t>
      </w:r>
    </w:p>
    <w:p w14:paraId="419C312F">
      <w:pPr>
        <w:spacing w:after="317" w:afterLines="50"/>
        <w:jc w:val="center"/>
        <w:rPr>
          <w:rFonts w:ascii="黑体" w:hAnsi="黑体" w:eastAsia="黑体" w:cs="黑体"/>
          <w:b/>
          <w:sz w:val="24"/>
          <w:szCs w:val="22"/>
        </w:rPr>
      </w:pPr>
      <w:r>
        <w:rPr>
          <w:rFonts w:hint="eastAsia" w:ascii="黑体" w:hAnsi="黑体" w:eastAsia="黑体" w:cs="黑体"/>
          <w:b/>
          <w:sz w:val="24"/>
          <w:szCs w:val="22"/>
          <w:u w:val="single"/>
        </w:rPr>
        <w:t xml:space="preserve">           </w:t>
      </w:r>
      <w:r>
        <w:rPr>
          <w:rFonts w:hint="eastAsia" w:ascii="黑体" w:hAnsi="黑体" w:eastAsia="黑体" w:cs="黑体"/>
          <w:b/>
          <w:sz w:val="24"/>
          <w:szCs w:val="22"/>
        </w:rPr>
        <w:t>学位论文工作过程及要求</w:t>
      </w:r>
    </w:p>
    <w:tbl>
      <w:tblPr>
        <w:tblStyle w:val="3"/>
        <w:tblW w:w="9965" w:type="dxa"/>
        <w:tblInd w:w="-5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1594"/>
        <w:gridCol w:w="5959"/>
        <w:gridCol w:w="1340"/>
      </w:tblGrid>
      <w:tr w14:paraId="2709B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072" w:type="dxa"/>
            <w:noWrap w:val="0"/>
            <w:vAlign w:val="center"/>
          </w:tcPr>
          <w:p w14:paraId="18CB8435">
            <w:pPr>
              <w:spacing w:line="360" w:lineRule="exact"/>
              <w:jc w:val="center"/>
              <w:rPr>
                <w:rFonts w:ascii="黑体" w:hAnsi="黑体" w:eastAsia="黑体" w:cs="黑体"/>
                <w:b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Cs w:val="21"/>
              </w:rPr>
              <w:t>工作过程</w:t>
            </w:r>
          </w:p>
        </w:tc>
        <w:tc>
          <w:tcPr>
            <w:tcW w:w="1594" w:type="dxa"/>
            <w:noWrap w:val="0"/>
            <w:vAlign w:val="center"/>
          </w:tcPr>
          <w:p w14:paraId="69BEBF8E">
            <w:pPr>
              <w:spacing w:line="360" w:lineRule="exact"/>
              <w:jc w:val="center"/>
              <w:rPr>
                <w:rFonts w:ascii="黑体" w:hAnsi="黑体" w:eastAsia="黑体" w:cs="黑体"/>
                <w:b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Cs w:val="21"/>
              </w:rPr>
              <w:t>完成时间</w:t>
            </w:r>
          </w:p>
        </w:tc>
        <w:tc>
          <w:tcPr>
            <w:tcW w:w="5959" w:type="dxa"/>
            <w:noWrap w:val="0"/>
            <w:vAlign w:val="center"/>
          </w:tcPr>
          <w:p w14:paraId="78F235D6">
            <w:pPr>
              <w:spacing w:line="360" w:lineRule="exact"/>
              <w:jc w:val="center"/>
              <w:rPr>
                <w:rFonts w:ascii="黑体" w:hAnsi="黑体" w:eastAsia="黑体" w:cs="黑体"/>
                <w:b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Cs w:val="21"/>
              </w:rPr>
              <w:t>具体要求</w:t>
            </w:r>
          </w:p>
        </w:tc>
        <w:tc>
          <w:tcPr>
            <w:tcW w:w="1340" w:type="dxa"/>
            <w:noWrap w:val="0"/>
            <w:vAlign w:val="center"/>
          </w:tcPr>
          <w:p w14:paraId="29BC65DF">
            <w:pPr>
              <w:spacing w:line="360" w:lineRule="exact"/>
              <w:jc w:val="center"/>
              <w:rPr>
                <w:rFonts w:ascii="黑体" w:hAnsi="黑体" w:eastAsia="黑体" w:cs="黑体"/>
                <w:b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Cs w:val="21"/>
              </w:rPr>
              <w:t>组织部门</w:t>
            </w:r>
          </w:p>
        </w:tc>
      </w:tr>
      <w:tr w14:paraId="1DB8F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72" w:type="dxa"/>
            <w:noWrap w:val="0"/>
            <w:vAlign w:val="center"/>
          </w:tcPr>
          <w:p w14:paraId="5ADF70C7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科研训练</w:t>
            </w:r>
          </w:p>
        </w:tc>
        <w:tc>
          <w:tcPr>
            <w:tcW w:w="1594" w:type="dxa"/>
            <w:noWrap w:val="0"/>
            <w:vAlign w:val="center"/>
          </w:tcPr>
          <w:p w14:paraId="609ED194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第二学期末</w:t>
            </w:r>
          </w:p>
          <w:p w14:paraId="69AE3077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（示例）</w:t>
            </w:r>
          </w:p>
        </w:tc>
        <w:tc>
          <w:tcPr>
            <w:tcW w:w="5959" w:type="dxa"/>
            <w:noWrap w:val="0"/>
            <w:vAlign w:val="center"/>
          </w:tcPr>
          <w:p w14:paraId="4DFB9CBB"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1.研究生撰写文献阅读报告。</w:t>
            </w:r>
          </w:p>
          <w:p w14:paraId="1D136C9F"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2.导师评阅并给出成绩合格或不合格。</w:t>
            </w:r>
          </w:p>
        </w:tc>
        <w:tc>
          <w:tcPr>
            <w:tcW w:w="1340" w:type="dxa"/>
            <w:noWrap w:val="0"/>
            <w:vAlign w:val="center"/>
          </w:tcPr>
          <w:p w14:paraId="2EC1EA5E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学院组织</w:t>
            </w:r>
          </w:p>
        </w:tc>
      </w:tr>
      <w:tr w14:paraId="62720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72" w:type="dxa"/>
            <w:noWrap w:val="0"/>
            <w:vAlign w:val="center"/>
          </w:tcPr>
          <w:p w14:paraId="0C180307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开题报告</w:t>
            </w:r>
          </w:p>
        </w:tc>
        <w:tc>
          <w:tcPr>
            <w:tcW w:w="1594" w:type="dxa"/>
            <w:noWrap w:val="0"/>
            <w:vAlign w:val="center"/>
          </w:tcPr>
          <w:p w14:paraId="78421CB9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第三学期末</w:t>
            </w:r>
          </w:p>
          <w:p w14:paraId="5984A54E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或第四学期初</w:t>
            </w:r>
          </w:p>
        </w:tc>
        <w:tc>
          <w:tcPr>
            <w:tcW w:w="5959" w:type="dxa"/>
            <w:noWrap w:val="0"/>
            <w:vAlign w:val="center"/>
          </w:tcPr>
          <w:p w14:paraId="12F3D39A"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1.完成</w:t>
            </w:r>
            <w:r>
              <w:rPr>
                <w:rFonts w:hint="eastAsia" w:ascii="宋体" w:hAnsi="宋体" w:cs="宋体"/>
                <w:szCs w:val="22"/>
              </w:rPr>
              <w:t>《浙江万里学院学术学位硕士研究生学位论文开题报告》，经</w:t>
            </w:r>
            <w:r>
              <w:rPr>
                <w:rFonts w:hint="eastAsia" w:ascii="宋体" w:hAnsi="宋体" w:cs="宋体"/>
                <w:szCs w:val="21"/>
              </w:rPr>
              <w:t>导师审核同意开题。</w:t>
            </w:r>
          </w:p>
          <w:p w14:paraId="1B892221"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2.通过学院组织的开题答辩，未通过者或选题变动需重新开题。</w:t>
            </w:r>
          </w:p>
        </w:tc>
        <w:tc>
          <w:tcPr>
            <w:tcW w:w="1340" w:type="dxa"/>
            <w:noWrap w:val="0"/>
            <w:vAlign w:val="center"/>
          </w:tcPr>
          <w:p w14:paraId="0DC07A5C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学院组织</w:t>
            </w:r>
          </w:p>
        </w:tc>
      </w:tr>
      <w:tr w14:paraId="76076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72" w:type="dxa"/>
            <w:noWrap w:val="0"/>
            <w:vAlign w:val="center"/>
          </w:tcPr>
          <w:p w14:paraId="26ADD22E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中期考核</w:t>
            </w:r>
          </w:p>
        </w:tc>
        <w:tc>
          <w:tcPr>
            <w:tcW w:w="1594" w:type="dxa"/>
            <w:noWrap w:val="0"/>
            <w:vAlign w:val="center"/>
          </w:tcPr>
          <w:p w14:paraId="65C1650A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第四学期中</w:t>
            </w:r>
          </w:p>
          <w:p w14:paraId="6C44F3AA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或第五学期初</w:t>
            </w:r>
          </w:p>
        </w:tc>
        <w:tc>
          <w:tcPr>
            <w:tcW w:w="5959" w:type="dxa"/>
            <w:noWrap w:val="0"/>
            <w:vAlign w:val="center"/>
          </w:tcPr>
          <w:p w14:paraId="2EF01885"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1.完成《</w:t>
            </w:r>
            <w:r>
              <w:rPr>
                <w:rFonts w:hint="eastAsia" w:ascii="宋体" w:hAnsi="宋体" w:cs="宋体"/>
                <w:szCs w:val="22"/>
              </w:rPr>
              <w:t>浙江万里学院研究生</w:t>
            </w:r>
            <w:r>
              <w:rPr>
                <w:rFonts w:hint="eastAsia" w:ascii="宋体" w:hAnsi="宋体" w:cs="宋体"/>
                <w:szCs w:val="21"/>
              </w:rPr>
              <w:t>中期考核表》，导师审核同意中期考核。</w:t>
            </w:r>
          </w:p>
          <w:p w14:paraId="4A58B803"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2.通过学院组织的中期考核，未达到合格者需重新中期考核。</w:t>
            </w:r>
          </w:p>
        </w:tc>
        <w:tc>
          <w:tcPr>
            <w:tcW w:w="1340" w:type="dxa"/>
            <w:noWrap w:val="0"/>
            <w:vAlign w:val="center"/>
          </w:tcPr>
          <w:p w14:paraId="0C3B77F9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学院组织</w:t>
            </w:r>
          </w:p>
        </w:tc>
      </w:tr>
      <w:tr w14:paraId="41D72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72" w:type="dxa"/>
            <w:noWrap w:val="0"/>
            <w:vAlign w:val="center"/>
          </w:tcPr>
          <w:p w14:paraId="5DB352F7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预答辩</w:t>
            </w:r>
          </w:p>
        </w:tc>
        <w:tc>
          <w:tcPr>
            <w:tcW w:w="1594" w:type="dxa"/>
            <w:noWrap w:val="0"/>
            <w:vAlign w:val="center"/>
          </w:tcPr>
          <w:p w14:paraId="6AE29910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第五学期末</w:t>
            </w:r>
          </w:p>
          <w:p w14:paraId="2DF2844A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或第六学期中</w:t>
            </w:r>
          </w:p>
        </w:tc>
        <w:tc>
          <w:tcPr>
            <w:tcW w:w="5959" w:type="dxa"/>
            <w:noWrap w:val="0"/>
            <w:vAlign w:val="center"/>
          </w:tcPr>
          <w:p w14:paraId="04075BC7"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1.完成《</w:t>
            </w:r>
            <w:r>
              <w:rPr>
                <w:rFonts w:hint="eastAsia" w:ascii="宋体" w:hAnsi="宋体" w:cs="宋体"/>
                <w:szCs w:val="22"/>
              </w:rPr>
              <w:t>浙江万里学院学术学位硕士研究生学位论文预答辩评审表</w:t>
            </w:r>
            <w:r>
              <w:rPr>
                <w:rFonts w:hint="eastAsia" w:ascii="宋体" w:hAnsi="宋体" w:cs="宋体"/>
                <w:szCs w:val="21"/>
              </w:rPr>
              <w:t>》，导师审核同意预答辩。</w:t>
            </w:r>
          </w:p>
          <w:p w14:paraId="0BFBBFE4"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2.通过学院组织的学位论文预答辩，未通过者需重新预答辩。</w:t>
            </w:r>
          </w:p>
        </w:tc>
        <w:tc>
          <w:tcPr>
            <w:tcW w:w="1340" w:type="dxa"/>
            <w:noWrap w:val="0"/>
            <w:vAlign w:val="center"/>
          </w:tcPr>
          <w:p w14:paraId="3062189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学院组织</w:t>
            </w:r>
          </w:p>
        </w:tc>
      </w:tr>
      <w:tr w14:paraId="4C399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72" w:type="dxa"/>
            <w:noWrap w:val="0"/>
            <w:vAlign w:val="center"/>
          </w:tcPr>
          <w:p w14:paraId="0A66F70F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学术不端行为检测</w:t>
            </w:r>
          </w:p>
        </w:tc>
        <w:tc>
          <w:tcPr>
            <w:tcW w:w="1594" w:type="dxa"/>
            <w:noWrap w:val="0"/>
            <w:vAlign w:val="center"/>
          </w:tcPr>
          <w:p w14:paraId="23D95787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第六学期</w:t>
            </w:r>
          </w:p>
        </w:tc>
        <w:tc>
          <w:tcPr>
            <w:tcW w:w="5959" w:type="dxa"/>
            <w:noWrap w:val="0"/>
            <w:vAlign w:val="center"/>
          </w:tcPr>
          <w:p w14:paraId="76F19784"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位论文检测结果依据为“去除本人已发表文献复制比”（N），即被检测论文去除本人以第一作者（或导师第一作者，本人第二作者）发表学术成果的文字重合字数后占全文的百分比。学位论文复制比检测结果合格要求为N≤15%。</w:t>
            </w:r>
          </w:p>
          <w:p w14:paraId="564A545E"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1.当N≤15%时，学位论文检测结果即为“通过”，学位申请者可参加学位论文评阅及答辩。</w:t>
            </w:r>
          </w:p>
          <w:p w14:paraId="755DF5E5"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当15%＜N≤30%时，学位论文检测结果即为“复检”，学位申请者须对学位论文进行不少于一周时间的修改，经导师、学位点同意后，可申请复检一次。复检结果为“通过”，学位申请者可直接参加学位论文评审及答辩；复检结果为“不通过”，学位申请者当次学位申请无效，半年后方可提出学位申请。</w:t>
            </w:r>
          </w:p>
          <w:p w14:paraId="27A62623"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3.当N＞30%时，申请人需在导师指导下对学位论文进行不少于半年时间的修改，经再次检测合格后方可申请学位。</w:t>
            </w:r>
          </w:p>
        </w:tc>
        <w:tc>
          <w:tcPr>
            <w:tcW w:w="1340" w:type="dxa"/>
            <w:noWrap w:val="0"/>
            <w:vAlign w:val="center"/>
          </w:tcPr>
          <w:p w14:paraId="5A67C1F9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研究生院组织</w:t>
            </w:r>
          </w:p>
        </w:tc>
      </w:tr>
      <w:tr w14:paraId="2C37B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72" w:type="dxa"/>
            <w:noWrap w:val="0"/>
            <w:vAlign w:val="center"/>
          </w:tcPr>
          <w:p w14:paraId="026C7A59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论文评阅</w:t>
            </w:r>
          </w:p>
        </w:tc>
        <w:tc>
          <w:tcPr>
            <w:tcW w:w="1594" w:type="dxa"/>
            <w:noWrap w:val="0"/>
            <w:vAlign w:val="center"/>
          </w:tcPr>
          <w:p w14:paraId="66FE09CE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第六学期</w:t>
            </w:r>
          </w:p>
        </w:tc>
        <w:tc>
          <w:tcPr>
            <w:tcW w:w="5959" w:type="dxa"/>
            <w:noWrap w:val="0"/>
            <w:vAlign w:val="center"/>
          </w:tcPr>
          <w:p w14:paraId="3DF577F8"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学位论文评阅的评阅意见分为以下三类：</w:t>
            </w:r>
          </w:p>
          <w:p w14:paraId="198A210C"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A（总分≥85）：学位论文达到相应水平，同意答辩；</w:t>
            </w:r>
          </w:p>
          <w:p w14:paraId="3ED62745"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B（85＞总分≥70）：学位论文达到相应水平，修改后答辩；</w:t>
            </w:r>
          </w:p>
          <w:p w14:paraId="283BC387"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C（总分＜70）：学位论文未达到相应水平，不同意答辩。</w:t>
            </w:r>
          </w:p>
          <w:p w14:paraId="7C1714D3"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前两类意见（A或B）视作“同意答辩”；后一类意见（C）视作“暂不同意答辩”。</w:t>
            </w:r>
          </w:p>
          <w:p w14:paraId="37C5EF3A"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对学位论文评阅意见的处理：</w:t>
            </w:r>
          </w:p>
          <w:p w14:paraId="5F4A19BA"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1.两名评阅人意见为A或B的，可进入答辩环节。</w:t>
            </w:r>
          </w:p>
          <w:p w14:paraId="4BF1278C"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2.一名评阅人意见为A或B，一名评阅人意见为C的，需由第三名评阅人给出评阅意见。若第三名评阅人意见为A或B的，可进入答辩环节，若第三名评阅人意见为C的，不可进入答辩环节。</w:t>
            </w:r>
          </w:p>
          <w:p w14:paraId="362797A0"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3.两名评阅人意见为C的，不可进入答辩环节。</w:t>
            </w:r>
          </w:p>
        </w:tc>
        <w:tc>
          <w:tcPr>
            <w:tcW w:w="1340" w:type="dxa"/>
            <w:noWrap w:val="0"/>
            <w:vAlign w:val="center"/>
          </w:tcPr>
          <w:p w14:paraId="7BBDF8DD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研究生院组织</w:t>
            </w:r>
          </w:p>
        </w:tc>
      </w:tr>
      <w:tr w14:paraId="4A75A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72" w:type="dxa"/>
            <w:noWrap w:val="0"/>
            <w:vAlign w:val="center"/>
          </w:tcPr>
          <w:p w14:paraId="68508D57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答辩</w:t>
            </w:r>
          </w:p>
        </w:tc>
        <w:tc>
          <w:tcPr>
            <w:tcW w:w="1594" w:type="dxa"/>
            <w:noWrap w:val="0"/>
            <w:vAlign w:val="center"/>
          </w:tcPr>
          <w:p w14:paraId="1FE72F2A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第六学期</w:t>
            </w:r>
          </w:p>
        </w:tc>
        <w:tc>
          <w:tcPr>
            <w:tcW w:w="5959" w:type="dxa"/>
            <w:noWrap w:val="0"/>
            <w:vAlign w:val="center"/>
          </w:tcPr>
          <w:p w14:paraId="71DD57F5"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通过学位论文查重和评阅，并根据评审专家意见对学位论文修改完善，经导师审核同意答辩，研究生可申请参与学院组织的答辩。</w:t>
            </w:r>
          </w:p>
        </w:tc>
        <w:tc>
          <w:tcPr>
            <w:tcW w:w="1340" w:type="dxa"/>
            <w:noWrap w:val="0"/>
            <w:vAlign w:val="center"/>
          </w:tcPr>
          <w:p w14:paraId="7E4A1E07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学院组织</w:t>
            </w:r>
          </w:p>
        </w:tc>
      </w:tr>
      <w:tr w14:paraId="269B3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72" w:type="dxa"/>
            <w:noWrap w:val="0"/>
            <w:vAlign w:val="center"/>
          </w:tcPr>
          <w:p w14:paraId="70582581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学位申请</w:t>
            </w:r>
          </w:p>
        </w:tc>
        <w:tc>
          <w:tcPr>
            <w:tcW w:w="1594" w:type="dxa"/>
            <w:noWrap w:val="0"/>
            <w:vAlign w:val="center"/>
          </w:tcPr>
          <w:p w14:paraId="52D65465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第六学期</w:t>
            </w:r>
          </w:p>
        </w:tc>
        <w:tc>
          <w:tcPr>
            <w:tcW w:w="5959" w:type="dxa"/>
            <w:noWrap w:val="0"/>
            <w:vAlign w:val="center"/>
          </w:tcPr>
          <w:p w14:paraId="0227780E"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通过学位论文答辩，达到学位申请条件，研究生可申请相关学位。</w:t>
            </w:r>
          </w:p>
        </w:tc>
        <w:tc>
          <w:tcPr>
            <w:tcW w:w="1340" w:type="dxa"/>
            <w:noWrap w:val="0"/>
            <w:vAlign w:val="center"/>
          </w:tcPr>
          <w:p w14:paraId="024F5A20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研究生院</w:t>
            </w:r>
          </w:p>
          <w:p w14:paraId="4AD3DDA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组织</w:t>
            </w:r>
          </w:p>
        </w:tc>
      </w:tr>
    </w:tbl>
    <w:p w14:paraId="665127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5B7D50">
    <w:pPr>
      <w:pStyle w:val="2"/>
      <w:jc w:val="right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kern w:val="0"/>
        <w:sz w:val="28"/>
        <w:szCs w:val="28"/>
      </w:rPr>
      <w:t>-</w:t>
    </w:r>
    <w:r>
      <w:rPr>
        <w:rFonts w:hint="eastAsia" w:ascii="仿宋_GB2312" w:eastAsia="仿宋_GB2312"/>
        <w:kern w:val="0"/>
        <w:sz w:val="28"/>
        <w:szCs w:val="28"/>
      </w:rPr>
      <w:fldChar w:fldCharType="begin"/>
    </w:r>
    <w:r>
      <w:rPr>
        <w:rFonts w:hint="eastAsia" w:ascii="仿宋_GB2312" w:eastAsia="仿宋_GB2312"/>
        <w:kern w:val="0"/>
        <w:sz w:val="28"/>
        <w:szCs w:val="28"/>
      </w:rPr>
      <w:instrText xml:space="preserve"> PAGE </w:instrText>
    </w:r>
    <w:r>
      <w:rPr>
        <w:rFonts w:hint="eastAsia" w:ascii="仿宋_GB2312" w:eastAsia="仿宋_GB2312"/>
        <w:kern w:val="0"/>
        <w:sz w:val="28"/>
        <w:szCs w:val="28"/>
      </w:rPr>
      <w:fldChar w:fldCharType="separate"/>
    </w:r>
    <w:r>
      <w:rPr>
        <w:rFonts w:ascii="仿宋_GB2312" w:eastAsia="仿宋_GB2312"/>
        <w:kern w:val="0"/>
        <w:sz w:val="28"/>
        <w:szCs w:val="28"/>
      </w:rPr>
      <w:t>1</w:t>
    </w:r>
    <w:r>
      <w:rPr>
        <w:rFonts w:hint="eastAsia" w:ascii="仿宋_GB2312" w:eastAsia="仿宋_GB2312"/>
        <w:kern w:val="0"/>
        <w:sz w:val="28"/>
        <w:szCs w:val="28"/>
      </w:rPr>
      <w:fldChar w:fldCharType="end"/>
    </w:r>
    <w:r>
      <w:rPr>
        <w:rFonts w:hint="eastAsia" w:ascii="仿宋_GB2312" w:eastAsia="仿宋_GB2312"/>
        <w:kern w:val="0"/>
        <w:sz w:val="28"/>
        <w:szCs w:val="2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A08F23">
    <w:pPr>
      <w:pStyle w:val="2"/>
      <w:ind w:firstLine="280" w:firstLineChars="100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kern w:val="0"/>
        <w:sz w:val="28"/>
        <w:szCs w:val="28"/>
      </w:rPr>
      <w:t>-</w:t>
    </w:r>
    <w:r>
      <w:rPr>
        <w:rFonts w:hint="eastAsia" w:ascii="仿宋_GB2312" w:eastAsia="仿宋_GB2312"/>
        <w:kern w:val="0"/>
        <w:sz w:val="28"/>
        <w:szCs w:val="28"/>
      </w:rPr>
      <w:fldChar w:fldCharType="begin"/>
    </w:r>
    <w:r>
      <w:rPr>
        <w:rFonts w:hint="eastAsia" w:ascii="仿宋_GB2312" w:eastAsia="仿宋_GB2312"/>
        <w:kern w:val="0"/>
        <w:sz w:val="28"/>
        <w:szCs w:val="28"/>
      </w:rPr>
      <w:instrText xml:space="preserve"> PAGE </w:instrText>
    </w:r>
    <w:r>
      <w:rPr>
        <w:rFonts w:hint="eastAsia" w:ascii="仿宋_GB2312" w:eastAsia="仿宋_GB2312"/>
        <w:kern w:val="0"/>
        <w:sz w:val="28"/>
        <w:szCs w:val="28"/>
      </w:rPr>
      <w:fldChar w:fldCharType="separate"/>
    </w:r>
    <w:r>
      <w:rPr>
        <w:rFonts w:ascii="仿宋_GB2312" w:eastAsia="仿宋_GB2312"/>
        <w:kern w:val="0"/>
        <w:sz w:val="28"/>
        <w:szCs w:val="28"/>
      </w:rPr>
      <w:t>2</w:t>
    </w:r>
    <w:r>
      <w:rPr>
        <w:rFonts w:hint="eastAsia" w:ascii="仿宋_GB2312" w:eastAsia="仿宋_GB2312"/>
        <w:kern w:val="0"/>
        <w:sz w:val="28"/>
        <w:szCs w:val="28"/>
      </w:rPr>
      <w:fldChar w:fldCharType="end"/>
    </w:r>
    <w:r>
      <w:rPr>
        <w:rFonts w:hint="eastAsia" w:ascii="仿宋_GB2312" w:eastAsia="仿宋_GB2312"/>
        <w:kern w:val="0"/>
        <w:sz w:val="28"/>
        <w:szCs w:val="28"/>
      </w:rPr>
      <w:t>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2022BE"/>
    <w:rsid w:val="4D20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2026-04-01T02:19:00Z</dcterms:created>
  <dc:creator>张建林</dc:creator>
  <cp:lastModifiedBy>张建林</cp:lastModifiedBy>
  <dcterms:modified xsi:type="dcterms:W3CDTF">2026-04-01T02:25:20Z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F9E4DB523DB3463495FF81C720E45C34_11</vt:lpwstr>
  </property>
  <property fmtid="{D5CDD505-2E9C-101B-9397-08002B2CF9AE}" pid="4" name="KSOTemplateDocerSaveRecord">
    <vt:lpwstr>eyJoZGlkIjoiMTZlMjBiMjczMzI2MGIzYzllYWNjMTZhNTFkMTRkNGIiLCJ1c2VySWQiOiIyMjcwMTk2NDYifQ==</vt:lpwstr>
  </property>
</Properties>
</file>